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2002 26 vom 4. Februar 2003</w:t>
      </w:r>
    </w:p>
    <w:p>
      <w:r>
        <w:t>GR Gerichte, 2003-02-04, DE</w:t>
      </w:r>
    </w:p>
    <w:p>
      <w:r>
        <w:rPr>
          <w:b/>
        </w:rPr>
        <w:t xml:space="preserve">Quelle: </w:t>
      </w:r>
      <w:r>
        <w:t>https://mcp.opencaselaw.ch/entscheid/gr_gerichte_SF 2002 26</w:t>
      </w:r>
    </w:p>
    <w:p>
      <w:r>
        <w:t>FR: GR_GERICHTE SF 2002 26 du 4 février 2003</w:t>
      </w:r>
    </w:p>
    <w:p>
      <w:r>
        <w:t>IT: GR_GERICHTE SF 2002 26 del 4 febbraio 2003</w:t>
      </w:r>
    </w:p>
    <w:p>
      <w:pPr>
        <w:pStyle w:val="Heading2"/>
      </w:pPr>
      <w:r>
        <w:t>Regeste</w:t>
      </w:r>
    </w:p>
    <w:p>
      <w:r>
        <w:t>versuchte Vergewaltigung, Raub etc. | Sexuelle Integrität</w:t>
      </w:r>
    </w:p>
    <w:p>
      <w:pPr>
        <w:pStyle w:val="Heading2"/>
      </w:pPr>
      <w:r>
        <w:t>Erwägungen</w:t>
      </w:r>
    </w:p>
    <w:p>
      <w:r>
        <w:rPr>
          <w:b/>
        </w:rPr>
        <w:t>E. 1</w:t>
      </w:r>
    </w:p>
    <w:p>
      <w:r>
        <w:t>a) Nach Art. 190 Abs. 1 StGB wird mit Zuchthaus bis zu zehn Jahren be- straft, wer eine Person weiblichen Geschlechts zur Duldung des Beischlafs nötigt, namentlich indem er sie bedroht, Gewalt anwendet, sie unter psychischen Druck setzt oder zum Widerstand unfähig macht. Unter Gewalt fällt in erster Linie Brachi- algewalt wie Schlagen und Festhalten (Philipp Maier, Basler Kommentar, StGB II,</w:t>
      </w:r>
    </w:p>
    <w:p>
      <w:r>
        <w:t>17 Basel, 2003, N. 5 zu Art. 190 StGB). Die Schwelle des Versuchs wird mit dem Be- ginn des Einsatzes des Nötigungsmittels überschritten. Wenn ein Täter zuerst ver- sucht, sein Opfer zu küssen und ihm an die Brüste greift, anschliessend sich bemüht, den Gurt und die Hose des Opfers zu öffnen, so darf aus diesen und wei- teren Umständen geschlossen werden, dass der Täter die Absicht hatte, das Opfer zum Beischlaf zu zwingen (Maier, a.a.O., N. 11 zu Art. 190 StGB mit Hinweisen). Führt der Täter, nachdem er mit der Ausführung eines Verbrechens oder Vergehens begonnen hat, die strafbare Tätigkeit nicht zu Ende, so kann er milder bestraft wer- den (Art. 21 Abs. 1 StGB). Wer vorsätzlich einen Menschen am Körper und an der Gesundheit schädigt ohne dass die in Art. 122 StGB umschriebenen Merkmale einer schweren Körper- verletzung erfüllt sind, wird gemäss Art. 123 Abs. 1 StGB auf Antrag mit Gefängnis bestraft. Vom Tatbestand der schweren Körperverletzung unterscheidet sich die einfache Körperverletzung dadurch, dass keine Lebensgefahr besteht, kein wichti- ges Organ oder Glied unbrauchbar gemacht wird und Körper und Gesundheit auch nicht auf eine andere Weise schwer geschädigt werden. Von einer blossen Tätlich- keit gemäss Art. 126 StGB grenzt sich die einfache Körperverletzung dadurch ab, dass eine nicht mehr bloss harmlose Beeinträchtigung der körperlichen Integrität oder des gesundheitlichen Wohlbefindens erforderlich ist. Die körperliche Integrität ist dann im Sinne einer einfachen Körperverletzung beeinträchtigt, wenn innere oder äussere Verletzungen oder Schädigungen zugefügt werden, die mindestens eine gewisse Behandlung oder Heilungszeit erfordern, also etwa Knochenbrüche, aber auch bereits Hirnerschütterungen, Quetschungen mit Blutergüssen und Schürfun- gen, sofern sie um einiges über blosse Kratzer hinausgehen (Andreas Roth, Basler Kommentar, StGB II, Basel 2003, N. 4 zu Art. 123 StGB). Des Raubes macht sich schuldig und wird mit Zuchthaus bis zu zehn Jahren oder mit Gefängnis nicht unter sechs Monaten bestraft, wer mit Gewalt gegen eine Person oder unter Androhung gegenwärtiger Gefahr für Leib und Leben oder nach- dem er den Betroffenen zum Widerstand unfähig gemacht hat, einen Diebstahl be- geht (Art. 140 Ziff. 1 Abs. 1 StGB). b) D. G. ist überführt und geständig, L. in der Nacht vom 2. auf den 3. März 2002 von hinten gepackt und auf den Boden gedrückt zu haben, wobei er ihr den Mund zuhielt. Sie verlor dabei ihre Brille. Obwohl sich das Opfer mit einem Pfeffer- spray zur Wehr setzte, zwang sie der Angeklagte unter Anwendung von Gewalt zur Herausgabe von zwei Zehnernoten. Damit erfüllte er, wie auch die Verteidigung an-</w:t>
      </w:r>
    </w:p>
    <w:p>
      <w:r>
        <w:t>18 erkennt, objektiv und subjektiv den Tatbestand des Raubes gemäss Art. 140 Ziff. 1 Abs. 1 StGB und wird gestützt auf diese Bestimmung schuldig gesprochen. c) Nachdem L. ihre Brille wieder gefunden hatte und sich alleine auf den Heimweg machen wollte, zog D. G. sie gegen ihren Willen eng an sich und begann, ihr an die Brüste zu greifen. Als sich das Opfer zu wehren begann, versetzte der Angeklagte ihr mit der rechten Hand ca. drei schwere Fausthiebe auf ihre rechte Gesichtshälfte. L. fiel dadurch zu Boden, worauf ihr D. G. die Hosen öffnete und anfing, mit der rechten Hand zwischen ihre Beine zu greifen und an der Schamlippe zu reiben. Während des ganzen Vorfalles wehrte sich das Opfer sowohl mit den ihm zur Verfügung stehenden Körperkräften als auch mit Schreien. Diese Abwehrversu- che veranlassten den Angeklagten, seinem Opfer nochmals zwei schwere Faust- hiebe zu verabreichen. Anlässlich der polizeilichen Einvernahme vom 7. März 2002 (act. 14.11) sagte D. G. aus, er habe die ihm nicht bekannte Frau wegen des Geldes und wegen seines Sexualtriebes überfallen. Er sei froh, dass er sich von einem Mann beobachtet gefühlt habe, ansonsten es vermutlich auch gegen den Willen der Frau zum Geschlechtsverkehr gekommen wäre. Er habe beabsichtigt, die Frau zu vergewaltigen. Er habe ein erigiertes Glied, aber keinen Samenerguss gehabt. Seine Aussagen bestätigte er in der untersuchungsrichterlichen Einvernahme vom 8. März 2002 (act. 3.4). D. G. gesteht damit ein, dass er L. mit körperlicher Gewalt zum Beischlaf nötigen wollte. Zur Vollendung der begonnenen Tat kam es nur des- wegen nicht, weil er sich von einem Anwohner beobachtet fühlte und daher von seinem Opfer abliess. Er wird daher wegen unvollendeten Versuchs der Vergewal- tigung gemäss Art. 190 Abs. 1 StGB in Verbindung mit Art. 21 Abs. 1 StGB verurteilt. d) Gemäss Arztbericht vom 21. März 2002 (act. 14.13,) zog sich L. beim Überfall eine Risswunde am Hinterkopf, mehrere Gesichts- und Schädelhämatome (vgl. auch Fotoblatt act. 14.2, S.2 und 3) sowie eine oberflächliche Schamlippenver- letzung zu. Die Frage nach einem bleibenden psychischen Nachteil konnte kurz nach dem Vorfall nicht beantwortet werden. Diese zum Teil überaus schmerzhaften Verletzungen sind zweifellos als Gesundheitsschädigung gemäss Art. 123 StGB und nicht bloss als Tätlichkeiten gemäss Art. 126 StGB zu qualifizieren. Wer sein Opfer so brutal wiederholt mit Fäusten traktiert, wie dies D. G. getan hat, sieht die Möglichkeit von zumindest einfachen Verletzungen so nahe vor sich, dass er sie billigt (Andreas Roth, a.a.O., N. 30 zu Art. 123 StGB mit Hinweisen), so dass auch der subjektive Tatbestand des Art. 123 StGB erfüllt ist.</w:t>
      </w:r>
    </w:p>
    <w:p>
      <w:r>
        <w:t>19 In der Lehre und Rechtsprechung ist umstritten, ob eine einfache Körperver- letzung vom Tatbestand der (versuchten) Vergewaltigung konsumiert wird. Ein Teil der Lehre geht hiervon aus (Rehberg/Schmid/Donatsch, Strafrecht III, 8. Aufl., T. 2003, S. 432; Stratenwerth/Jenny, Schweizerisches Strafrecht, Besonderer Teil I,</w:t>
      </w:r>
    </w:p>
    <w:p>
      <w:r>
        <w:rPr>
          <w:b/>
        </w:rPr>
        <w:t>E. 6</w:t>
      </w:r>
    </w:p>
    <w:p>
      <w:r>
        <w:t>Aufl., Bern 2003, S. 171, Jenny, Kommentar zum Schweizerischen Strafrecht, Besonderer Teil, 4. Bd ., Art. 187-200, Art. 213-230 StGB, Bern 1997, N. 50 zu Art. 189 StGB, Philipp Maier, Basler Kommentar, a.a.O., N. 19 zu Art. 190 StGB und N. 55 zu Art. 189 StGB). Die Rechtsprechung hat sich teilweise für echte Konkurrenz ausgesprochen (ZBJV 130 1994, S. 571, PKG 1948 Nr. 13, BJM 1961 S. 15). Das Kantonsgericht hat sich dieser Auffassung angeschlossen. Es ist nicht einzusehen, weshalb die einfache Körperverletzung, nur weil sie ein typisches Begleitdelikt der Vergewaltigung darstellt, durch diese konsumiert werden soll. Das geschützte Rechtsgut ist nicht das gleiche. Während es bei der Vergewaltigung um die sexuelle Integrität, namentlich die sexuelle Selbstbestimmung der Frau geht, schützt Art. 123 StGB generell die körperliche und geistige Unversehrtheit des Menschen (ZBJV 130 1994 S. 571). Der Begriff der Anwendung von Gewalt in Art. 190 Abs. 1 StGB schliesst denn auch noch keineswegs eine Körperverletzung in sich (PKG 1948 Nr. 13). Der Täter hat sich daher für beide Delikte zu verantworten, wenn er bei einer Vergewaltigung das Opfer so verletzt, dass nicht mehr bloss von geringfügigen Krat- zern oder Schürfungen gesprochen werden kann (Urteil des Kantonsgerichts vom</w:t>
      </w:r>
    </w:p>
    <w:p>
      <w:r>
        <w:rPr>
          <w:b/>
        </w:rPr>
        <w:t>E. 11</w:t>
      </w:r>
    </w:p>
    <w:p>
      <w:r>
        <w:t>a) Am 26. Juli 2002 reichte L., vertreten durch N., dipl. Sozialarbeiter HFS, Opferhilfeberatungsstelle in Chur, eine Adhäsionsklage ein mit dem Antrag, D. G. unter Vorbehalt des Nachklagerechts zu verpflichten, L. Schadenersatz von Fr. 1'396.50 und eine Genugtuung von Fr. 10'000.-- zuzüglich 5 % Zins seit dem 3. März 2002 zu bezahlen, unter Kosten und Entschädigungspflicht zu Lasten des Ver- urteilten. Die Verteidigung beantragt, nicht auf die Klage einzutreten beziehungs- weise sie ad separatum zu verweisen, da der Vertreter der Adhäsionsklägerin nicht über einen Fähigkeitsausweis für Rechtsanwälte verfüge und damit nicht postulati- onsfähig sei. b) Die Adhäsionsklägerin kann einen Rechtsvertreter bestellen, der die ent- sprechenden Anforderungen der Zivilprozessordnung erfüllen muss (Art. 129 Abs. 1 StPO). Ausserhalb der einzelrichterlichen Zuständigkeit sieht Art. 23 ZPO vor, dass die Rechtsvertretung Personen vorbehalten ist, welche im Besitze eines Fähig- keitsausweises für Rechtsanwältinnen und Rechtsanwälte sind. Nach Art. 23 Abs. 3 ZPO kann der Gerichtspräsident Personen ohne Anwaltspatent im Einzelfall zur Vertretung vor Gerichtsbehörden zulassen, wenn die übrigen Voraussetzungen ge- geben sind, die Person also handlungsfähig ist, in bürgerlichen Ehren und Rechten steht und einen guten Leumund geniesst. Im vorliegenden Fall kann offenbleiben, ob Mitarbeiterinnen und Mitarbeiter der Opferhilfe-Beratungsstelle Opfer gestützt auf das Bundesgesetz über die Hilfe an Opfer von Straftaten (OHG) vor Gericht vertreten können oder ob die Beschrän- kung auf Vertretung durch patentierte Rechtsanwältinnen und Rechtsanwälte gemäss den oben erwähnten kantonalen Gesetzesbestimmungen zur Anwendung</w:t>
      </w:r>
    </w:p>
    <w:p>
      <w:r>
        <w:t>39 gelangt. N. hat anlässlich der Hauptverhandlung vor der Strafkammer mündlich das Gesuch um Zulassung gemäss Art. 23 Abs. 3 ZPO gestellt. Er begründete das Ge- such damit, dass L. nach den schwerwiegenden Übergriffen im Rahmen der Opfer- hilfeberatung Vertrauen zu ihm gewonnen habe und den ausdrücklichen Wunsch gehabt habe, nicht auch noch zu einer Rechtsanwältin geschickt zu werden. Diese Begründung vermag zu überzeugen. Dass N. die übrigen Voraussetzungen gemäss Art. 23 Abs. 4 ZPO erfüllt, dürfte unbestritten sein. Entsprechend erscheint es ge- rechtfertigt, ihn im vorliegenden Fall zur Vertretung von L. zuzulassen. c) Hinzu kommt, dass das Verbot des überspitzten Formalismus dem Gericht untersagt, formelle Vorschriften mit übertriebener Schärfe anzuwenden oder an Rechtsschriften überspannte Anforderungen zu stellen und damit Bürgerinnen und Bürgern den Rechtsweg in unzulässiger Weise zu versperren. Die Verfahrensvor- schriften des Zivilprozess-, Strafprozess- und Verwaltungsrechtes haben der Ver- wirklichung des materiellen Rechts zu dienen, weshalb die zur Rechtspflege beru- fenen Behörden verpflichtet sind, sich innerhalb des ihnen vom Gesetz gezogenen Rahmens gegenüber den Rechtsuchenden so zu verhalten, dass deren Rechts- schutzinteresse materiell gewahrt werden kann. Dabei steht nicht jede prozessuale Formstrenge im Widerspruch mit Art. 29 Abs. 1 BV, sondern nur solche, die als exzessiv erscheint, durch kein schutzwürdiges Interesse gerechtfertigt ist, zum blos- sen Selbstzweck wird und die Verwirklichung des materiellen Rechts in unhaltbarer Weise erschwert oder gar verhindert. Nach der auf den 15. Februar 1992 in Kraft gesetzten Bestimmung von Art. 30 Abs. 2 OG hat das Bundesgericht einer Partei, die eine nicht unterzeichnete oder eine von einem nicht zugelassenen Vertreter unterzeichnete Rechtsschrift einge- reicht hat, eine angemessene Frist zur Behebung des Mangels anzusetzen. Das Bundesgericht hat in BGE 120 IV 413 entschieden und im unveröffentlichten Ent- scheid 2P.278/1999 vom 17. April 2000 bestätigt, dass eine solche Nachfristanset- zung der Ausdruck eines aus dem Verbot des überspitzten Formalismus fliessen- den, allgemeinen prozessualen Rechtsgrundsatzes ist, der auch im kantonalen Ver- fahren Geltung hat. Entsprechend hat das Bundesgericht mit Urteil 1P.11/2002 eine staatsrechtliche Beschwerde gegen ein Urteil der Strafkammer des Kantonsgerichts Graubünden vom 26. Juni 2001 (SF 01 12) gutgeheissen, in welchem auf eine nicht unterzeichnete Adhäsionsklage nicht eingetreten worden war. Nach Art. 130 StPO kann die Geschädigte ihre zivile Forderung gegenüber dem Angeschuldigten beim Strafgericht adhäsionsweise geltend machen. Die Ad-</w:t>
      </w:r>
    </w:p>
    <w:p>
      <w:r>
        <w:t>40 häsionsklage von L. vom 26. Juli 2002 wäre somit zweifellos gültig und von der Strafkammer des Kantonsgerichts zu beurteilen, wenn sie (auch) von ihr selbst un- terzeichnet wäre. Hätte das Gericht die Vertretung des Opfers durch den Mitarbeiter der Opferhilfeberatungsstelle ablehnen wollen, hätte es beziehungsweise der Un- tersuchungsrichter die Eingabe nach dem Eingang prüfen und der Adhäsionskläge- rin Gelegenheit geben müssen, den formellen Mangel zu beheben. Sie hätte die Klage in eigenem Namen einreichen oder aber eine patentierte Rechtsanwältin mit ihrer Vertretung betrauen können. Würde auf die Klage mangels Postulationsfähig- keit des Vertreters nicht eingetreten, ohne dass eine Frist zur Verbesserung der Rechtsschrift angesetzt worden wäre, würde das Kantonsgericht gemäss der zitier- ten bundesgerichtlichen Rechtsprechung überspitzt formalistisch entscheiden. Auch aus diesem Grund ist auf die Adhäsionsklage von L. einzutreten.</w:t>
      </w:r>
    </w:p>
    <w:p>
      <w:r>
        <w:rPr>
          <w:b/>
        </w:rPr>
        <w:t>E. 12</w:t>
      </w:r>
    </w:p>
    <w:p>
      <w:r>
        <w:t>Nach Art. 2 Abs. 1 in Verbindung mit Art. 8 Abs. 1 lit. a OHG kann ein Opfer im Sinne des OHG seine Zivilansprüche im Strafverfahren geltend machen. Gemäss Art. 9 Abs. 1 OHG entscheidet das Strafgericht über die Zivilansprüche des Opfers, solange der Täter nicht freigesprochen oder das Verfahren nicht eingestellt ist. Zivilansprüche stellen unter anderem Schadenersatzansprüche nach Art. 41 OR oder Genugtuungsansprüche nach Art. 47 und 49 OR dar.</w:t>
      </w:r>
    </w:p>
    <w:p>
      <w:r>
        <w:rPr>
          <w:b/>
        </w:rPr>
        <w:t>E. 13</w:t>
      </w:r>
    </w:p>
    <w:p>
      <w:r>
        <w:t>a) Nach Art. 41 Abs. 1 OR wird zum Ersatz von Schaden verpflichtet, wer einem anderen widerrechtlich Schaden zufügt, sei es mit Absicht, sei es aus Fahr- lässigkeit. Voraussetzung für die Haftung sind folglich ein Schaden, die Widerrecht- lichkeit der Handlung, ein adäquater Kausalzusammenhang zwischen der unerlaub- ten Handlung und dem Schaden sowie ein Verschulden, wobei selbst eine leichte Fahrlässigkeit genügen kann (Roland Brehm, Berner Kommentar zum Schweizeri- schen Privatrecht, Bd. IV, 1. Abteilung, 3. Teilband, 1. Unterteilband, Art. 41-61 OR, 2. Aufl., Bern 1998, NN 32 ff. zu Art. 41 OR). Nach Art. 42 Abs. 1 OR hat den Scha- den zu beweisen, wer Schadenersatz beansprucht. Der nicht zahlenmässig nach- weisbare Schaden ist nach dem Ermessen des Richters mit Rücksicht auf den ge- wöhnlichen Lauf der Dinge und auf die vom Geschädigten getroffenen Massnahmen abzuschätzen (Art. 42 Abs. 2 OR). Auch die übrigen Voraussetzungen der Haftung hat der oder die Geschädigte zu beweisen. b) Der Verteidiger stellt zu Recht nicht in Abrede, dass D. G. für den Schaden, welchen er L. bei seinen zweifellos widerrechtlichen Übergriffen in der Nacht vom 2. auf den 3. März 2002 verursacht hat, grundsätzlich aufzukommen hat. Er aner- kennt denn auch die geltend gemachten Kosten für die Reinigung der Kleider in der</w:t>
      </w:r>
    </w:p>
    <w:p>
      <w:r>
        <w:t>41 Höhe von Fr. 60.-- sowie Telefonspesen von pauschal Fr. 50.-- (S. 24 f. des Plädoy- ers). Er stellt sich aber auf den Standpunkt, dass die übrigen Schadenspositionen, nämlich die Kosten der psychotherapeutischen Behandlung im Betrag von Fr. 838.-- sowie die Fahrkosten von total Fr. 448.50.-- , nicht ausreichend substantiiert worden seien. Dass L. nach dem brutalen Überfall von D. G. nicht nur körperliche Schäden davontrug, sondern auch psychisch derart beeinträchtigt war, dass eine psychothe- rapeutische Behandlung angezeigt war, liegt auf der Hand und wurde von N. an- lässlich der Hauptverhandlung bestätigt. Er betreute das Opfer am Tag nach der Tat auf der Opferhilfeberatungsstelle. Die Notwendigkeit psychotherapeutischer Be- handlung wird denn auch von der Verteidigung grundsätzlich bejaht. Entgegen der Auffassung des Rechtsvertreters von D. G. ist diese Schadensposition aber auch betragsmässig ausreichend nachgewiesen. Bei den Akten liegt die Rechnung der Psychologin und Psychotherapeutin FSP Q., welche für sieben Sitzungen zwischen dem 8. März 2002 und dem 26. April 2002 zu Fr. 132.-- total Fr. 924.-- verlangt. Am</w:t>
      </w:r>
    </w:p>
    <w:p>
      <w:r>
        <w:rPr>
          <w:b/>
        </w:rPr>
        <w:t>E. 16</w:t>
      </w:r>
    </w:p>
    <w:p>
      <w:r>
        <w:t>Die Kosten der Strafuntersuchung und des Gerichtsverfahrens gehen bei diesem Ausgang gemäss Art. 158 Abs. 1 StPO zu Lasten des Verurteilten, der auch die Kosten der ambulanten psychiatrischen Behandlung zu tragen hat. Die Kosten der Untersuchungshaft sowie jene eines allfälligen Strafvollzuges trägt dem- gegenüber der Kanton Graubünden (Art. 188 StPO).</w:t>
      </w:r>
    </w:p>
    <w:p>
      <w:r>
        <w:t>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